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717E286E" w:rsidR="00115878" w:rsidRDefault="00A910F9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Activity: THIS IS THE WAY</w:t>
      </w:r>
    </w:p>
    <w:p w14:paraId="582D55C8" w14:textId="5BC4C286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Developmental Focus </w:t>
      </w:r>
      <w:r w:rsidR="00EE34B8">
        <w:rPr>
          <w:rFonts w:ascii="Century Gothic" w:hAnsi="Century Gothic"/>
          <w:b/>
          <w:sz w:val="24"/>
          <w:szCs w:val="24"/>
        </w:rPr>
        <w:t>Area:</w:t>
      </w:r>
      <w:r w:rsidR="00A910F9">
        <w:rPr>
          <w:rFonts w:ascii="Century Gothic" w:hAnsi="Century Gothic"/>
          <w:b/>
          <w:sz w:val="24"/>
          <w:szCs w:val="24"/>
        </w:rPr>
        <w:t xml:space="preserve"> Social &amp; Emotional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</w:p>
    <w:p w14:paraId="23A9228A" w14:textId="2E36C55C" w:rsidR="00115878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Increase your child’</w:t>
      </w:r>
      <w:r w:rsidR="00A910F9">
        <w:rPr>
          <w:rFonts w:ascii="Century Gothic" w:hAnsi="Century Gothic"/>
          <w:b/>
          <w:sz w:val="24"/>
          <w:szCs w:val="24"/>
        </w:rPr>
        <w:t>s personal care skills in a fun and meaningful activity.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904DC4">
        <w:rPr>
          <w:rFonts w:ascii="Century Gothic" w:hAnsi="Century Gothic"/>
          <w:b/>
          <w:sz w:val="24"/>
          <w:szCs w:val="24"/>
        </w:rPr>
        <w:t xml:space="preserve">Modeling for our children when it comes to personal care is such an important life skill that as parents we do naturally. Brushing our bright teeth, washing our hands with a lot of bubbles, or making a big bubble bath at night et. with our children can easily become a routine practice. Our youngest may not be quite ready, but by modeling and creating a routine, we are teaching them to care and be responsible for their own well-being. </w:t>
      </w:r>
    </w:p>
    <w:p w14:paraId="7729CB6B" w14:textId="1D6F20E3" w:rsidR="00921C4F" w:rsidRDefault="00453F91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>- “</w:t>
      </w:r>
      <w:r w:rsidR="00A910F9">
        <w:rPr>
          <w:rFonts w:ascii="Century Gothic" w:hAnsi="Century Gothic"/>
          <w:b/>
          <w:sz w:val="24"/>
          <w:szCs w:val="24"/>
        </w:rPr>
        <w:t>This is the Way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055A8CCD" w14:textId="6CCB1D36" w:rsidR="00A910F9" w:rsidRDefault="00453F91" w:rsidP="00E53A31">
      <w:r>
        <w:rPr>
          <w:rFonts w:ascii="Century Gothic" w:hAnsi="Century Gothic"/>
          <w:b/>
          <w:sz w:val="24"/>
          <w:szCs w:val="24"/>
        </w:rPr>
        <w:t xml:space="preserve">Online Resource- Visit </w:t>
      </w:r>
      <w:hyperlink r:id="rId8" w:history="1">
        <w:r w:rsidR="00A910F9">
          <w:rPr>
            <w:rStyle w:val="Hyperlink"/>
          </w:rPr>
          <w:t>https://www.youtube.com/watch?v=a1IWWXZkHzY</w:t>
        </w:r>
      </w:hyperlink>
      <w:r w:rsidR="00A910F9">
        <w:t xml:space="preserve"> </w:t>
      </w:r>
    </w:p>
    <w:p w14:paraId="23349473" w14:textId="196AF6E8" w:rsidR="00453F91" w:rsidRPr="00904DC4" w:rsidRDefault="00A910F9" w:rsidP="00904DC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 search “Wash your Hands Dance with Baby Shark” on youtube.com</w:t>
      </w:r>
    </w:p>
    <w:p w14:paraId="607A138A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39AA" w14:textId="77777777" w:rsidR="007B32A6" w:rsidRDefault="007B32A6" w:rsidP="00F51426">
      <w:pPr>
        <w:spacing w:after="0" w:line="240" w:lineRule="auto"/>
      </w:pPr>
      <w:r>
        <w:separator/>
      </w:r>
    </w:p>
  </w:endnote>
  <w:endnote w:type="continuationSeparator" w:id="0">
    <w:p w14:paraId="76FDD3E9" w14:textId="77777777" w:rsidR="007B32A6" w:rsidRDefault="007B32A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C4AF" w14:textId="77777777" w:rsidR="007B32A6" w:rsidRDefault="007B32A6" w:rsidP="00F51426">
      <w:pPr>
        <w:spacing w:after="0" w:line="240" w:lineRule="auto"/>
      </w:pPr>
      <w:r>
        <w:separator/>
      </w:r>
    </w:p>
  </w:footnote>
  <w:footnote w:type="continuationSeparator" w:id="0">
    <w:p w14:paraId="70C6F97D" w14:textId="77777777" w:rsidR="007B32A6" w:rsidRDefault="007B32A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B32A6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76260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E34B8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1IWWXZkHz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4</cp:revision>
  <cp:lastPrinted>2015-05-11T22:00:00Z</cp:lastPrinted>
  <dcterms:created xsi:type="dcterms:W3CDTF">2020-03-30T17:50:00Z</dcterms:created>
  <dcterms:modified xsi:type="dcterms:W3CDTF">2020-03-30T19:31:00Z</dcterms:modified>
</cp:coreProperties>
</file>